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103"/>
      </w:tblGrid>
      <w:tr w:rsidR="008B0B06" w:rsidRPr="00717552" w:rsidTr="006565BD">
        <w:tc>
          <w:tcPr>
            <w:tcW w:w="4962" w:type="dxa"/>
          </w:tcPr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Мемлекеттік бюджеттен қаржыландырылатын заңды тұлғаларға арналған </w:t>
            </w: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03-</w:t>
            </w:r>
            <w:r w:rsidR="00C266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электрмен жабдықтаудың шарты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tabs>
                <w:tab w:val="right" w:pos="9923"/>
              </w:tabs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Қарағанды қ.                        201</w:t>
            </w:r>
            <w:r w:rsidR="00C266C5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жылы </w:t>
            </w:r>
            <w:r w:rsidR="00C266C5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 __»</w:t>
            </w: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желтоқсан </w:t>
            </w:r>
          </w:p>
          <w:p w:rsidR="008B0B06" w:rsidRPr="008B0B06" w:rsidRDefault="008B0B06" w:rsidP="006565BD">
            <w:pPr>
              <w:tabs>
                <w:tab w:val="right" w:pos="9923"/>
              </w:tabs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«Расчетный сервисный центр»  ЖШС (энергиямен жабдықтаушы),  07.07.2009 г., № 000441 мемлекеттік лицензияға сәйкес тұтынушыларды электрмен жабдықтауды жүзеге асырушы, бұдан әрі «Сатушы» деп аталатын Директоры </w:t>
            </w:r>
            <w:r w:rsidR="00B065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Байжанов Рустем Сейтбекович</w:t>
            </w: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негiзiнде әрекет ететін, Жарғы түрінде бір тараптан, және__________________________________________,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_________________________түрінде________________ негiзiнде әрекет ететін бұдан әрі «Тұтынушы» ___________, бұдан әрі «Тұтынушы» деп аталып келесі тараптан жеке «Тарап» және бірлесіп «Тараптар» деп аталып </w:t>
            </w:r>
            <w:r w:rsidRPr="008B0B0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>электрмен жабдықтау  шартын</w:t>
            </w: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(бұдан әрі - Шарт) төмендегідей жасасты</w:t>
            </w: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: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1-тарау. Шартта пайдаланылатын негізгі ұғымдар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1. Шартта мынадай негізгі ұғымдар пайдаланылады: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1) есептік кезең - тұтынылған электр энергиясы есепке алынатын және тұтынушыға төлеу үшін ұсынылатын электрмен жабдықтау шартымен айқындалатын уақыт кезеңі;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2) тұтынушы - шарт негізінде электр энергиясын тұтынатын жеке немесе заңды тұлға;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3) коммерциялық есепке алу аспабы - электр қуатын, электр немесе жылу энергиясын коммерциялық есепке алуға арналған, Қазақстан Республикасының заңнамасында белгіленген тәртіппен қолдануға рұқсат етілген техникалық құрылғы;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4 )электр энергиясының коммерциялық есепке алу жүйесі - электр энергиясы мен қуаты шығынын анықтауға арналған коммерциялық есепке алу құралдарының жиынтығы (электр энергиясын есептеуіш, ток пен кернеудің өлшеу трансформаторлары) және өзара белгіленген схема арқылы жалғанған құрылғы (коммутациялық аппарат);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5) электр энергиясын сату нүктесі - энергиямен жабдықтаушы ұйыммен электр энергиясын беру туралы шарты бар энергия беруші ұйымның жауапкершілігі шекарасында орналасқан нүкте.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Осы Шартта қолданылатын өзге де ұғымдар мен терминдер Қазақстан Республикасының электр энергетикасы мен табиғи монополиялар саласындағы </w:t>
            </w:r>
            <w:bookmarkStart w:id="0" w:name="SUB1000219589_3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 w:eastAsia="ru-RU"/>
              </w:rPr>
              <w:t>заңнамасына</w:t>
            </w:r>
            <w:bookmarkEnd w:id="0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 сәйкес қолданылады.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2-тарау. Шарттың мәні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2. Сатушы сату нүктесіне дейін Тұтынушыға электр энергиясын беруге міндеттенеді, ал Тұтынушы осы Шарттың тәртібі мен талаптарына сәйкес тұтынған электр энергиясы үшін ақы төлеуге міндеттенеді.</w:t>
            </w:r>
          </w:p>
          <w:p w:rsidR="008B0B06" w:rsidRPr="00D60A48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3.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жасалады.</w:t>
            </w:r>
          </w:p>
          <w:p w:rsidR="008B0B06" w:rsidRPr="008B0B06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D60A48" w:rsidRDefault="008B0B06" w:rsidP="00D60A48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3-тарау. Тұтынылатын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алу</w:t>
            </w:r>
            <w:proofErr w:type="spellEnd"/>
            <w:r w:rsidR="00D60A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қабылдаған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энергиясының көлемі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көрсеткішімен, ал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болмаған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уақытша бұзылған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жолмен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анықталады.</w:t>
            </w:r>
          </w:p>
          <w:p w:rsidR="008B0B06" w:rsidRPr="008B0B06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саны осы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қа </w:t>
            </w:r>
            <w:bookmarkStart w:id="1" w:name="SUB1005970489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1-қосымшаға</w:t>
            </w:r>
            <w:bookmarkEnd w:id="1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сәйкес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тізбесінде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көрсетіледі.</w:t>
            </w:r>
          </w:p>
          <w:p w:rsidR="008B0B06" w:rsidRPr="008B0B06" w:rsidRDefault="008B0B06" w:rsidP="00D60A4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көрсеткіштерін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Сатушының,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ұйымның өкілдері сағат 21-00-ден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жүргізеді. Электр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алудың автоматтандырылған жүйесін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барысында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аспаптардың көрсеткіштерін қашықтықтан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уақытта жүзеге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асырылуы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мүмкін.</w:t>
            </w:r>
            <w:proofErr w:type="gramEnd"/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көрсеткіштерін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өз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бетімен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Көрсеткішті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барысында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төлеу құжаттарын төлеу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барысында</w:t>
            </w:r>
            <w:proofErr w:type="spellEnd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жіберген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қателерді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 олардың анықталуы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айдан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аспайтындай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мерзім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ішінде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 Тұтынушы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кезекті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жыл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тұтыну көлемін анықтау үшін жабдықтау жылының алдыңғы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жылы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басталғанға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30 күннен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осы Шартқа </w:t>
            </w:r>
            <w:bookmarkStart w:id="2" w:name="SUB1005970490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2-қосымшаға</w:t>
            </w:r>
            <w:bookmarkEnd w:id="2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сәйкес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нысан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алдын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ала өтінім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4-тарау. Электр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энергиясы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үшін ақы төлеу тәртібі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8. Пайдаланылған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төлем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кезеңнен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кейінгі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айдың 15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онбесіне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төленеді.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ҚҚС-ты қоса алғанда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қаржылық жылға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сома - _______________ теңге 00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(______________________ теңге 00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ҚҚС-ты қоспағанда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қаржылық жылға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сома - ________________ теңге 00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(_______________________ теңге 00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түрі ____________________.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бағдарламалар әкімшіс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 - ____ «_______________________</w:t>
            </w:r>
            <w:proofErr w:type="gramEnd"/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___________________________________________________________________».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бағдарлама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______ «_______________________________</w:t>
            </w:r>
            <w:proofErr w:type="gramEnd"/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___________________________________________________________________».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Ішкі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бағдарлама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________ «___________________________________</w:t>
            </w:r>
            <w:proofErr w:type="gramEnd"/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___________________________________________________________________».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Ерекшелік</w:t>
            </w:r>
            <w:proofErr w:type="spellEnd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___ - 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коммуналдық қызметтерді төлеу.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Ерекшелік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___ -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сатып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алынатын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тауарлар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қызметтер мен жұмыстар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Сатушыға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ҚҚС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сомасын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аудару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Егер</w:t>
            </w:r>
            <w:proofErr w:type="spellEnd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 шартының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бұзғаны үшін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ажыратылса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оны қосуды бұзушылық жойылған соң және қосу үшін көрсетілетін қызметке ақы төленгеннен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(энергия өндіруші) ұйым жүргізеді.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 Тұ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тынушы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айдан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кейінгі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айдың 7-күнінен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аспаптары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көрсеткіштерінің және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осы Шарттың 4, 6-тармақтарына сәйкес жүргізілген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есептеулер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негізінде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төлем құжаты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жазылады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беріледі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11. 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аспаптары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желісінің теңгерімдік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тиесілі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шекарасында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орнатылмаған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тиесілі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шекара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аспаптарын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орнату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орнына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дейінгі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энергиясының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ысыраптарын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ұтынушымен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отырып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жолмен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анықтайды, ал төлемді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балансында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желінің көрсетілген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учаскесі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орналасқан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жүргізеді.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Смарт-картасы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аспаптарын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олдану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негізделген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энергиясының автоматтандырылған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жүйесі болған жағдайда, Тұтынушы тұтынған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төлемді төлем құжатынсыз өз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бетінше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анықтаған көлемде өтейді.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ңа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тарифтерді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қолданысқа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енгізу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тұтынушыларға 3 (үш) күннен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бұқаралық ақпарат құралдары арқылы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алдын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ала хабарлағаннан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жүзеге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осы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қайта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жасасу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негіз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болып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табылмайды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5-тарау. Тұтынушының құқықтары мен </w:t>
            </w:r>
            <w:proofErr w:type="spellStart"/>
            <w:proofErr w:type="gram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індеттері</w:t>
            </w:r>
            <w:proofErr w:type="spellEnd"/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 Тұтынушы: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жасалған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шарттар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сәйкес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алуға;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жасалған шарттардың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талаптарына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сәйкес энергия өндiрушi,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берушi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жабдықтаушы ұйымнан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жеткiзбеуден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сапасыз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жеткiзуден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келтiрiлген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қты нұқсанның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орнын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толтыруды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етуге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жасасу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және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оларды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орындауға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мәселелердi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үшiн сотқа жүгiнуге;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тұтынылған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үшiн сараланған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тарифтiк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жүйелерi </w:t>
            </w:r>
            <w:proofErr w:type="spellStart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ақы төлеудi Қазақстан Республикасының заңдарында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белгiленген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тәртiппен жүргiзуге құқылы.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 Тұтынушы: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тұтынушылардың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меншiгiндегi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энергия қондырғыларының және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аспаптарының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тиiсiнше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техникалық жай-күйін ұстап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тұру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ға, Қазақстан Республикасының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энергетикасы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саласындағы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құқықтық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актілеріне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сәйкес олардың техникалық жай-күйіне қойылатын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орындауға;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сатып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алу-сату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шартында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айқындалған энергия тұтыну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режимдер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сақтауға;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Қазақстан Республикасының біртұтас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энергетикалық жүйесiндегi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энергиясының стандарттық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жиiлiгiн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ұстап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тұру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бағытталған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нормативтiк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орындауға;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жасалған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шарттар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сәйкес босатылған,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берiлген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тұтынылған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энергиясының ақысын уақтылы төлеуге;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жабдықтаушы және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берушi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ұйымдардың жұмыскерлерiн коммерциялық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аспаптарына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сондай-ақ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мемлекеттiк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энергетикалық қадағалау және бақылау жөнiндегi органның жұмыскерлерiн,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атқарушы органдардың уәкілетті өкілдерін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және энергия қондырғыларының техникалық жай-күйiн және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қауiпсiздiгiн бақылауды жүзеге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асыру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үшiн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беруге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міндетті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6-тарау. Сатушының құқықтары мен </w:t>
            </w:r>
            <w:proofErr w:type="spellStart"/>
            <w:proofErr w:type="gram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індеттері</w:t>
            </w:r>
            <w:proofErr w:type="spellEnd"/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lastRenderedPageBreak/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энергия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беруші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ұйымды қатыстыру арқылы: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Тұтынушы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оның өкілі алған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фактісін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растауға мүмкіндік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беретін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жазбаша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жіберу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арқылы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беру тоқтатылғанға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кемінде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күнтізбелік 30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отыз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күн бұрын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жазбаша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ескерту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шартымен</w:t>
            </w:r>
            <w:proofErr w:type="spellEnd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пайдаланған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энергияны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төлемеген жағдайда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орындауды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тоқтата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тұру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шарттың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жасаумен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орындалуымен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мәселелер туындағанда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қа жүгінуге құқылы.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жасалған Шартқа сәйкес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беруге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Тұтынушыға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келті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нақты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залалды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толық көлемде өтеуге;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Тұтынушы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оның өкілі алған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фактісін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растау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мүмкіндік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беретін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тәсілмен төлемегені үшін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толық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ішінара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тоқтатылғанға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кемінде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күнтізбелік 30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отыз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күн бұрын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жазбаша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хабарлауға;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4) бұқаралық ақпарат құралдарында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хабарландыру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орналастыру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арқылы, сондай-ақ төлем құжаттарындаға осы өзгерістерді көрсете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отырып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 қызметтеріне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тарифтер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олардың өзгеруі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туралы</w:t>
            </w:r>
            <w:proofErr w:type="spellEnd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ұтынушыны 3 (үш) жұмыс күнінен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кешіктірмей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хабардар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етуге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5) Тұтынушыдан оған ұсынылатын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өз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кассалары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арқылы, сондай-ақ банк операцияларының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жеке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түрлері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көрсететін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банктер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 ұйымдар арқылы төлем қабылдауды қамтамасыз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етуге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6) тұтынған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энергиясының төлемін өтеу үшін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ұтынушыға ай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төлем құжатын ұсынуға;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7) табиғи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монополиялар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саласында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басшылықты жүзеге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асыратын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келісілген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тарифтер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сыну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міндетті</w:t>
            </w:r>
            <w:proofErr w:type="spellEnd"/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7-тарау. Тараптардың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жауапкершілігі</w:t>
            </w:r>
            <w:proofErr w:type="spellEnd"/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жабдықтау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міндеттемелерін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орындамаған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тиісінше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орындамаған жағдайда,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тараптар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нақты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келті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зиянды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еркімен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өтеуге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келіспеген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жағдайда сот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шешімі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өтеуге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міндетті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19.Тараптар форс-мажор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зілзалалар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әскери әрекеттер,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террористік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актілер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жағдайларынан туындаған,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сонымен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қатар тараптардың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еркінен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болған түрлі (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беру желілерінің және басқа жабдықтардың зақымдалуы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ұрлануы) жағдайларда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энергиясын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берудегі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үзілістер үшін материалдық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жауапты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болмайды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Тараптар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өздерінің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атаулары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заңды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нақты тұ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ғылықты жерінің және осы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орындау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қажетті өзге де деректемелерінің өзгергені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бір-біріне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жедел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түрде хабарлауға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міндеттенеді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8-тарау. Қорытынды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ережелер</w:t>
            </w:r>
            <w:proofErr w:type="spellEnd"/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тараптар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қол қойған күннен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бастап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жасалды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саналады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күнтізбелік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жыл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аяқталғ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дейінгі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қолданылады.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Жыл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Шарттың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мерзімі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аяқталғанға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ай </w:t>
            </w: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бұрын тараптардың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бірінен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ұзартудан бас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тарту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туралы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жазбаша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хабарлама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келмесе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осы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жасасқан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кездегі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талаптарымен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келесі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күнтізбелік жылға ұзартылған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болып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есептеледі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Тараптардың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келісі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өзгертілуі мүмкін.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22. Осы Шарттың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талаптарын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орындауға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ұтынушы арасындағы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мәселелер туындаған жағдайда,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Сатушы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 (үш) жұмыс күні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ішінде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мәселені өз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еркімен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үшін Тұтынушыға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хабарлайды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Өзара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келіспеген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жағдайда,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даулы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мәселелерді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Шартты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орындау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орны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сот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шешімі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жүзеге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23. Шартқа тараптардың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келісуімен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енгізілетін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барлық өзгерістер мен толықтырулар Шарттың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ережелеріне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қайшы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келмеуі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тиіс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қосымша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келісім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тү</w:t>
            </w:r>
            <w:proofErr w:type="gram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інде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ресімделеді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тараптардың уәкілетті өкілдерінің қолы қойылып, заңнамада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тәртіп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бойынша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ресімделеді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24.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Шарт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мемлекетті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ж</w:t>
            </w:r>
            <w:proofErr w:type="gram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әне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орыс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тілдерінде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жасалады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B0B06" w:rsidRPr="008B0B06" w:rsidRDefault="008B0B06" w:rsidP="00B0652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9-тарау.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Тараптар</w:t>
            </w:r>
            <w:proofErr w:type="spellEnd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деректемелері</w:t>
            </w:r>
            <w:proofErr w:type="spellEnd"/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Сатушы</w:t>
            </w:r>
          </w:p>
          <w:p w:rsidR="00B0652A" w:rsidRPr="008B0B06" w:rsidRDefault="00B0652A" w:rsidP="00B0652A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«Расчетный сервисный центр»</w:t>
            </w:r>
            <w:r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ЖШС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100008 Қарағанды қаласы,</w:t>
            </w:r>
            <w:r w:rsidR="004C35CF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Лободы көш.</w:t>
            </w: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құр. 35</w:t>
            </w:r>
            <w:proofErr w:type="gramStart"/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</w:t>
            </w:r>
            <w:proofErr w:type="gramEnd"/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IBAN KZ 45914398411 BCO3003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ЕБ АҚ «Сбербанк»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БИК SABRKZKA 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БСН 031040000176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Тел/факс: 8(7212) 90-01-90, 90-01-52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Ресми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сайт:</w:t>
            </w:r>
            <w:r w:rsidRPr="008B0B06">
              <w:rPr>
                <w:color w:val="000000" w:themeColor="text1"/>
              </w:rPr>
              <w:t xml:space="preserve"> </w:t>
            </w:r>
            <w:hyperlink r:id="rId4" w:history="1">
              <w:r w:rsidRPr="008B0B06">
                <w:rPr>
                  <w:rStyle w:val="s0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www.krsc.kz</w:t>
              </w:r>
            </w:hyperlink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B0B06" w:rsidRDefault="008B0B06" w:rsidP="006565BD">
            <w:pPr>
              <w:shd w:val="clear" w:color="auto" w:fill="FFFFFF"/>
              <w:tabs>
                <w:tab w:val="left" w:pos="61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652A" w:rsidRDefault="00B0652A" w:rsidP="006565BD">
            <w:pPr>
              <w:shd w:val="clear" w:color="auto" w:fill="FFFFFF"/>
              <w:tabs>
                <w:tab w:val="left" w:pos="61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652A" w:rsidRPr="008B0B06" w:rsidRDefault="00B0652A" w:rsidP="006565BD">
            <w:pPr>
              <w:shd w:val="clear" w:color="auto" w:fill="FFFFFF"/>
              <w:tabs>
                <w:tab w:val="left" w:pos="61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tabs>
                <w:tab w:val="left" w:pos="615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0B06" w:rsidRPr="008B0B06" w:rsidRDefault="008B0B06" w:rsidP="006565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</w:t>
            </w:r>
          </w:p>
          <w:p w:rsidR="008B0B06" w:rsidRPr="008B0B06" w:rsidRDefault="008B0B06" w:rsidP="00656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B0652A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B065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__________________  </w:t>
            </w:r>
            <w:r w:rsidRPr="00B065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Р.С. Байжанов </w:t>
            </w:r>
          </w:p>
          <w:p w:rsidR="008B0B06" w:rsidRPr="00B0652A" w:rsidRDefault="008B0B06" w:rsidP="006565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D60A48" w:rsidRDefault="00D60A48" w:rsidP="00D60A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D60A48" w:rsidRPr="008B0B06" w:rsidRDefault="00D60A48" w:rsidP="006565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Тұтынушы:</w:t>
            </w:r>
          </w:p>
          <w:p w:rsidR="008B0B06" w:rsidRPr="008B0B06" w:rsidRDefault="008B0B06" w:rsidP="006565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textAlignment w:val="baseline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ГУ «</w:t>
            </w:r>
            <w:r w:rsidR="00C266C5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______________________________</w:t>
            </w: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Карагандинская область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0B06" w:rsidRDefault="008B0B06" w:rsidP="006565BD">
            <w:pPr>
              <w:tabs>
                <w:tab w:val="left" w:pos="747"/>
                <w:tab w:val="left" w:pos="5580"/>
                <w:tab w:val="left" w:pos="576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b/>
                <w:color w:val="000000" w:themeColor="text1"/>
                <w:sz w:val="20"/>
                <w:szCs w:val="20"/>
                <w:lang w:val="kk-KZ"/>
              </w:rPr>
              <w:t>Ә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>к</w:t>
            </w:r>
            <w:r w:rsidRPr="008B0B06">
              <w:rPr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>м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ab/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  <w:p w:rsidR="008B0B06" w:rsidRPr="008B0B06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B0B06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8B0B06" w:rsidRPr="008B0B06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 xml:space="preserve">____________ _______________ </w:t>
            </w:r>
          </w:p>
          <w:p w:rsidR="008B0B06" w:rsidRPr="008B0B06" w:rsidRDefault="008B0B06" w:rsidP="006565B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8B0B06">
              <w:rPr>
                <w:b/>
                <w:color w:val="000000" w:themeColor="text1"/>
                <w:sz w:val="20"/>
                <w:szCs w:val="20"/>
              </w:rPr>
              <w:t xml:space="preserve">м.о.  </w:t>
            </w:r>
          </w:p>
          <w:p w:rsidR="008B0B06" w:rsidRPr="008B0B06" w:rsidRDefault="008B0B06" w:rsidP="006565B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  <w:p w:rsidR="008B0B06" w:rsidRPr="008B0B06" w:rsidRDefault="008B0B06" w:rsidP="006565B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8B0B0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5103" w:type="dxa"/>
          </w:tcPr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Договор электроснабжения для юридических лиц, финансируемых из государственного бюджета № 03-</w:t>
            </w:r>
            <w:r w:rsidR="00C266C5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____</w:t>
            </w:r>
          </w:p>
          <w:p w:rsidR="008B0B06" w:rsidRPr="008B0B06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B0B06">
              <w:rPr>
                <w:color w:val="000000" w:themeColor="text1"/>
                <w:sz w:val="20"/>
                <w:szCs w:val="20"/>
              </w:rPr>
              <w:t xml:space="preserve">г. Караганда                                  </w:t>
            </w:r>
            <w:r w:rsidR="00C266C5">
              <w:rPr>
                <w:color w:val="000000" w:themeColor="text1"/>
                <w:sz w:val="20"/>
                <w:szCs w:val="20"/>
              </w:rPr>
              <w:t xml:space="preserve">«__» </w:t>
            </w:r>
            <w:r w:rsidRPr="008B0B06">
              <w:rPr>
                <w:color w:val="000000" w:themeColor="text1"/>
                <w:sz w:val="20"/>
                <w:szCs w:val="20"/>
              </w:rPr>
              <w:t>декабря 201</w:t>
            </w:r>
            <w:r w:rsidR="00C266C5">
              <w:rPr>
                <w:color w:val="000000" w:themeColor="text1"/>
                <w:sz w:val="20"/>
                <w:szCs w:val="20"/>
              </w:rPr>
              <w:t>8</w:t>
            </w:r>
            <w:r w:rsidRPr="008B0B06">
              <w:rPr>
                <w:color w:val="000000" w:themeColor="text1"/>
                <w:sz w:val="20"/>
                <w:szCs w:val="20"/>
              </w:rPr>
              <w:t xml:space="preserve"> года.</w:t>
            </w:r>
          </w:p>
          <w:p w:rsidR="008B0B06" w:rsidRPr="008B0B06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B0B06">
              <w:rPr>
                <w:color w:val="000000" w:themeColor="text1"/>
                <w:sz w:val="20"/>
                <w:szCs w:val="20"/>
              </w:rPr>
              <w:t>ТОО «Расчетный сервисный центр» (</w:t>
            </w:r>
            <w:proofErr w:type="spellStart"/>
            <w:r w:rsidRPr="008B0B06">
              <w:rPr>
                <w:color w:val="000000" w:themeColor="text1"/>
                <w:sz w:val="20"/>
                <w:szCs w:val="20"/>
              </w:rPr>
              <w:t>энергоснабжающая</w:t>
            </w:r>
            <w:proofErr w:type="spellEnd"/>
            <w:r w:rsidRPr="008B0B06">
              <w:rPr>
                <w:color w:val="000000" w:themeColor="text1"/>
                <w:sz w:val="20"/>
                <w:szCs w:val="20"/>
              </w:rPr>
              <w:t xml:space="preserve"> организация), осуществляющее электроснабжение потребителей, согласно государственной лицензии № 000441 от 07.07.2009 г., именуемое в дальнейшем «Продавец</w:t>
            </w:r>
            <w:r w:rsidR="00B0652A">
              <w:rPr>
                <w:color w:val="000000" w:themeColor="text1"/>
                <w:sz w:val="20"/>
                <w:szCs w:val="20"/>
              </w:rPr>
              <w:t xml:space="preserve">», в лице Директора </w:t>
            </w:r>
            <w:proofErr w:type="spellStart"/>
            <w:r w:rsidR="00B0652A">
              <w:rPr>
                <w:color w:val="000000" w:themeColor="text1"/>
                <w:sz w:val="20"/>
                <w:szCs w:val="20"/>
              </w:rPr>
              <w:t>Байжанова</w:t>
            </w:r>
            <w:proofErr w:type="spellEnd"/>
            <w:r w:rsidR="00B065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652A">
              <w:rPr>
                <w:color w:val="000000" w:themeColor="text1"/>
                <w:sz w:val="20"/>
                <w:szCs w:val="20"/>
              </w:rPr>
              <w:t>Рустема</w:t>
            </w:r>
            <w:proofErr w:type="spellEnd"/>
            <w:r w:rsidR="00B065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652A">
              <w:rPr>
                <w:color w:val="000000" w:themeColor="text1"/>
                <w:sz w:val="20"/>
                <w:szCs w:val="20"/>
              </w:rPr>
              <w:t>Сейтбековича</w:t>
            </w:r>
            <w:proofErr w:type="spellEnd"/>
            <w:r w:rsidRPr="008B0B06">
              <w:rPr>
                <w:color w:val="000000" w:themeColor="text1"/>
                <w:sz w:val="20"/>
                <w:szCs w:val="20"/>
              </w:rPr>
              <w:t xml:space="preserve">, действующего на основании Устава, с одной стороны, и </w:t>
            </w:r>
            <w:r w:rsidR="00C266C5">
              <w:rPr>
                <w:color w:val="000000" w:themeColor="text1"/>
                <w:sz w:val="20"/>
                <w:szCs w:val="20"/>
              </w:rPr>
              <w:t>_ГУ __________________________</w:t>
            </w:r>
            <w:r w:rsidRPr="008B0B06">
              <w:rPr>
                <w:color w:val="000000" w:themeColor="text1"/>
                <w:sz w:val="20"/>
                <w:szCs w:val="20"/>
              </w:rPr>
              <w:t xml:space="preserve">, именуемое в дальнейшем «Потребитель», в лице  </w:t>
            </w:r>
            <w:proofErr w:type="spellStart"/>
            <w:r w:rsidRPr="008B0B06">
              <w:rPr>
                <w:color w:val="000000" w:themeColor="text1"/>
                <w:sz w:val="20"/>
                <w:szCs w:val="20"/>
              </w:rPr>
              <w:t>акима</w:t>
            </w:r>
            <w:proofErr w:type="spellEnd"/>
            <w:r w:rsidRPr="008B0B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66C5">
              <w:rPr>
                <w:color w:val="000000" w:themeColor="text1"/>
                <w:sz w:val="20"/>
                <w:szCs w:val="20"/>
              </w:rPr>
              <w:t>_______________________</w:t>
            </w:r>
            <w:r w:rsidRPr="008B0B06">
              <w:rPr>
                <w:color w:val="000000" w:themeColor="text1"/>
                <w:sz w:val="20"/>
                <w:szCs w:val="20"/>
              </w:rPr>
              <w:t>, действующего на основании Положения,  именуемые в дальнейшем  «Стороны», а по отдельности «Сторона», заключили настоящий договор электроснабжения (далее - Договор</w:t>
            </w:r>
            <w:proofErr w:type="gramEnd"/>
            <w:r w:rsidRPr="008B0B06">
              <w:rPr>
                <w:color w:val="000000" w:themeColor="text1"/>
                <w:sz w:val="20"/>
                <w:szCs w:val="20"/>
              </w:rPr>
              <w:t>) о нижеследующем: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1. Основные понятия, используемые в Договоре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 настоящем Договоре используются следующие основные понятия: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расчетный период - период времени, определяемый Договором, за который потребленная электрическая энергия учитывается и предъявляется к оплате потребителю;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потребитель - физическое или юридическое лицо, потребляющее на основе договора электрическую энергию;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система коммерческого учета электрической энергии -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точка продажи электрической энергии - точка, расположенная на границе ответственности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организации, с которой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энергоснабжающая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имеет договор на передачу электрической энергии.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2. Предмет Договора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Договор заключается с Потребителем только при наличии у него </w:t>
            </w:r>
            <w:proofErr w:type="gram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оборудования</w:t>
            </w:r>
            <w:proofErr w:type="gram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</w:t>
            </w: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приборов коммерческого учета.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3. Учет потребляемой электрической энергии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- расчетным путем.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Количество приборов коммерческого учета отражается в перечне приборов коммерческого учета, согласно приложению 1 к настоящему Договору.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Снятие показаний приборов коммерческого учета производиться не позднее 21-00 часа представителями Продавца,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Допускается самообслуживание Потребителя при снятии показаний приборов учета. Ошибки, допущенные Потребителем при снятии показаний и оплате платежных документов, учитываются Продавцом и (или)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организацией по мере их выявления в пределах срока, не превышающего шести месяцев.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both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4. Порядок оплаты электрической энергии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Оплата за потребленную электрическую энергию производится ежемесячно до 15 (пятнадцатого) числа месяца, следующего за 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расчетным</w:t>
            </w:r>
            <w:proofErr w:type="gram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по договору на соответствующий финансовый год составляет с учетом НДС - _______________ тенге 00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тиын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(___________________________ тенге 00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тиын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 по договору на соответствующий финансовый год составляет без НДС - _____________ тенге 00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тиын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(________________________________ тенге 00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тиын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бюджета ____________________.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Администратор бюджетных программ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____ «_______________________</w:t>
            </w:r>
            <w:proofErr w:type="gramEnd"/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___________________________________________________________________».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Бюджетная программа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______ «___________________________________</w:t>
            </w:r>
            <w:proofErr w:type="gramEnd"/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___________________________________________________________________».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________ «_______________________________________</w:t>
            </w:r>
            <w:proofErr w:type="gramEnd"/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___________________________________________________________________».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Специфика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 - </w:t>
            </w:r>
            <w:proofErr w:type="gram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коммунальных услуг.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Специфика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___ - </w:t>
            </w:r>
            <w:proofErr w:type="gram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перечисление Продавцу суммы НДС по приобретаемым товарам, услугам и работам.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9. Если Потребитель отключен за нарушения условия договора электроснабжения, то подключение его производится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энергопроизводящей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организацией после устранения нарушения и оплаты услуги за подключение.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 Платежный документ выписывается и вручается Потребителю не позднее 7 (седьмого) числа месяца, следующего за </w:t>
            </w:r>
            <w:proofErr w:type="gram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расчетным</w:t>
            </w:r>
            <w:proofErr w:type="gram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основании фактических </w:t>
            </w: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показаний приборов коммерческого учета и (или) расчетов, проведенных в соответствии с пунктами 4, 6 настоящего Договора.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 При установке приборов коммерческого учета электрической энергии не на границе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определяются расчетным путем </w:t>
            </w:r>
            <w:proofErr w:type="spellStart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организацией по согласованию с Потребителем и оплачиваются стороной, на балансе которой находится указанный участок сети.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      </w:r>
          </w:p>
          <w:p w:rsidR="008B0B06" w:rsidRPr="008B0B06" w:rsidRDefault="008B0B06" w:rsidP="006565BD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5. Права и обязанности Потребителя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 Потребитель имеет право: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получать электрическую энергию в соответствии с заключенным договором;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требовать от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энергопроизводящей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энергоснабжающей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обращаться в суд для решения спорных вопросов, связанных с заключением и исполнением договора;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производить оплату за потребленную электрическую энергию по дифференцированным тарифным системам учета в порядке, установленном законодательством Республики Казахстан.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 Потребитель обязан: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поддерживать надлежащее техническое состояние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соблюдать режимы энергопотребления, определенные договором купли-продажи электрической энергии;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своевременно оплачивать отпущенную, переданную и потребленную электрическую энергию согласно заключенному договору;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допускать работников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энергоснабжающих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энергопередающих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</w:t>
            </w:r>
            <w:proofErr w:type="spell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</w:t>
            </w:r>
            <w:proofErr w:type="spellEnd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 энергоустановок.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 Глава 6. Права и обязанности Продавца</w:t>
            </w:r>
          </w:p>
          <w:p w:rsidR="008B0B06" w:rsidRPr="008B0B06" w:rsidRDefault="00B0652A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  <w:r w:rsidR="008B0B06"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Продавец, посредством привлечения </w:t>
            </w:r>
            <w:proofErr w:type="spellStart"/>
            <w:r w:rsidR="008B0B06"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энергопередающей</w:t>
            </w:r>
            <w:proofErr w:type="spellEnd"/>
            <w:r w:rsidR="008B0B06"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организации, имеет право: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(тридцать) календарных дней способом, позволяющим подтвердить факт получения Потребителем или его представителем;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обращаться в суд для решения спорных вопросов, связанных с заключением и исполнением договора.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 Продавец обязан: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предоставлять электрическую энергию в соответствии с заключенным договором;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возместить Потребителю в полном объеме причиненный ему реальный ущерб;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письменно уведомить Потребителя не менее чем за 30 (тридцать) календарных дней до приостановления подачи электрической энергии за неоплату способом, позволяющим подтвердить факт получения уведомления Потребителем или его представителем;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ежемесячно представлять Потребителю платежный документ для оплаты за потребленную электрическую энергию;</w:t>
            </w:r>
          </w:p>
          <w:p w:rsidR="008B0B06" w:rsidRPr="008B0B06" w:rsidRDefault="008B0B06" w:rsidP="00D60A48">
            <w:pPr>
              <w:jc w:val="both"/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предоставлять электрическую энергию по тарифам, согласованным государственным органом, осуществляющим руководство в сфере естественных монополий</w:t>
            </w:r>
            <w:r w:rsidR="00D60A48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7. Ответственность сторон</w:t>
            </w:r>
          </w:p>
          <w:p w:rsidR="008B0B06" w:rsidRPr="008B0B06" w:rsidRDefault="008B0B06" w:rsidP="006565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0A48" w:rsidRDefault="008B0B06" w:rsidP="00D60A48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Глава 8. Заключительные положения</w:t>
            </w:r>
          </w:p>
          <w:p w:rsidR="008B0B06" w:rsidRPr="008B0B06" w:rsidRDefault="008B0B06" w:rsidP="00B0652A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 Договор считается заключенным со дня его подписания сторонами, сроком до окончания календарного года.</w:t>
            </w:r>
          </w:p>
          <w:p w:rsidR="008B0B06" w:rsidRPr="008B0B06" w:rsidRDefault="008B0B06" w:rsidP="00B065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 данный Договор считается продленным на следующий календарный годи на тех же условиях, какие </w:t>
            </w: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были предусмотрены Договором при его заключении, если за месяц до окончания срока его действия не последует письменного заявления одной из Сторон об отказе от продления данного Договора.</w:t>
            </w:r>
            <w:proofErr w:type="gramEnd"/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может быть изменен по соглашению сторон.</w:t>
            </w:r>
          </w:p>
          <w:p w:rsidR="008B0B06" w:rsidRPr="008B0B06" w:rsidRDefault="008B0B06" w:rsidP="006565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      </w:r>
          </w:p>
          <w:p w:rsidR="008B0B06" w:rsidRDefault="008B0B06" w:rsidP="006565BD">
            <w:pPr>
              <w:jc w:val="both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      </w:r>
          </w:p>
          <w:p w:rsidR="00B0652A" w:rsidRPr="00D001E0" w:rsidRDefault="00B0652A" w:rsidP="00B0652A">
            <w:pPr>
              <w:tabs>
                <w:tab w:val="left" w:pos="967"/>
              </w:tabs>
              <w:rPr>
                <w:sz w:val="20"/>
                <w:szCs w:val="20"/>
              </w:rPr>
            </w:pPr>
            <w:r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24. </w:t>
            </w:r>
            <w:r w:rsidRPr="0071755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Договор составлен на государственном и русском языках. </w:t>
            </w:r>
            <w:r w:rsidRPr="00717552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B0B06" w:rsidRPr="008B0B06" w:rsidRDefault="008B0B06" w:rsidP="00B0652A">
            <w:pPr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Глава 9. Реквизиты Сторон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Продавец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ТОО «Расчетный сервисный центр»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араганда, ул.Лободы стр. 35 Б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ИИК KZ 45914398411BCO3003 ДБ АО «Сбербанк»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БИК SABRKZKA 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БИН 031040000176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Тел/факс: 8(7212) 900-163, 900-164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Официальный сайт:</w:t>
            </w:r>
            <w:r w:rsidRPr="008B0B06">
              <w:rPr>
                <w:color w:val="000000" w:themeColor="text1"/>
              </w:rPr>
              <w:t xml:space="preserve"> </w:t>
            </w:r>
            <w:hyperlink r:id="rId5" w:history="1">
              <w:r w:rsidRPr="008B0B06">
                <w:rPr>
                  <w:rStyle w:val="s0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www.krsc.kz</w:t>
              </w:r>
            </w:hyperlink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B0B06" w:rsidRPr="008B0B06" w:rsidRDefault="008B0B06" w:rsidP="006565BD">
            <w:pPr>
              <w:rPr>
                <w:color w:val="000000" w:themeColor="text1"/>
                <w:sz w:val="20"/>
                <w:szCs w:val="20"/>
              </w:rPr>
            </w:pPr>
          </w:p>
          <w:p w:rsidR="008B0B06" w:rsidRDefault="008B0B06" w:rsidP="006565BD">
            <w:pPr>
              <w:rPr>
                <w:color w:val="000000" w:themeColor="text1"/>
                <w:sz w:val="20"/>
                <w:szCs w:val="20"/>
              </w:rPr>
            </w:pPr>
          </w:p>
          <w:p w:rsidR="00B0652A" w:rsidRPr="008B0B06" w:rsidRDefault="00B0652A" w:rsidP="006565BD">
            <w:pPr>
              <w:rPr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0B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Директор</w:t>
            </w:r>
          </w:p>
          <w:p w:rsidR="008B0B06" w:rsidRPr="008B0B06" w:rsidRDefault="008B0B06" w:rsidP="006565B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B0B06">
              <w:rPr>
                <w:rStyle w:val="a5"/>
                <w:color w:val="000000" w:themeColor="text1"/>
                <w:sz w:val="20"/>
                <w:szCs w:val="20"/>
              </w:rPr>
              <w:t>___________________ Байжанов Р.С.</w:t>
            </w:r>
          </w:p>
          <w:p w:rsidR="00D60A48" w:rsidRDefault="00D60A48" w:rsidP="006565BD">
            <w:pPr>
              <w:jc w:val="center"/>
              <w:textAlignment w:val="baseline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60A48" w:rsidRDefault="00D60A48" w:rsidP="006565BD">
            <w:pPr>
              <w:jc w:val="center"/>
              <w:textAlignment w:val="baseline"/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B0B06">
              <w:rPr>
                <w:rStyle w:val="s1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B0B06" w:rsidRPr="008B0B06" w:rsidRDefault="008B0B06" w:rsidP="006565BD">
            <w:pPr>
              <w:jc w:val="center"/>
              <w:textAlignment w:val="baseline"/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</w:pPr>
            <w:r w:rsidRPr="008B0B06"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8B0B06">
              <w:rPr>
                <w:rStyle w:val="s1"/>
                <w:rFonts w:ascii="Times New Roman" w:hAnsi="Times New Roman" w:cs="Times New Roman"/>
                <w:b/>
                <w:color w:val="000000" w:themeColor="text1"/>
              </w:rPr>
              <w:t>Потребитель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ГУ «</w:t>
            </w:r>
            <w:r w:rsidR="00C266C5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___________________________</w:t>
            </w: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  <w:r w:rsidRPr="008B0B06"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  <w:t>Карагандинская область</w:t>
            </w: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0B06" w:rsidRDefault="008B0B06" w:rsidP="006565BD">
            <w:pPr>
              <w:jc w:val="both"/>
              <w:rPr>
                <w:rStyle w:val="s0"/>
                <w:rFonts w:ascii="Times New Roman" w:eastAsia="Calibri" w:hAnsi="Times New Roman" w:cs="Times New Roman"/>
                <w:color w:val="000000" w:themeColor="text1"/>
              </w:rPr>
            </w:pPr>
          </w:p>
          <w:p w:rsidR="008B0B06" w:rsidRPr="008B0B06" w:rsidRDefault="008B0B06" w:rsidP="006565BD">
            <w:pPr>
              <w:tabs>
                <w:tab w:val="left" w:pos="747"/>
                <w:tab w:val="left" w:pos="5580"/>
                <w:tab w:val="left" w:pos="576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B0B06">
              <w:rPr>
                <w:b/>
                <w:color w:val="000000" w:themeColor="text1"/>
                <w:sz w:val="20"/>
                <w:szCs w:val="20"/>
              </w:rPr>
              <w:t>Аким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ab/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ab/>
              <w:t xml:space="preserve">      </w:t>
            </w:r>
          </w:p>
          <w:p w:rsidR="008B0B06" w:rsidRPr="008B0B06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tabs>
                <w:tab w:val="left" w:pos="747"/>
                <w:tab w:val="left" w:pos="7230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B0B06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>____________ _______________</w:t>
            </w:r>
            <w:r w:rsidR="00F577FE" w:rsidRPr="008B0B0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B0B06">
              <w:rPr>
                <w:b/>
                <w:color w:val="000000" w:themeColor="text1"/>
                <w:sz w:val="20"/>
                <w:szCs w:val="20"/>
              </w:rPr>
              <w:t xml:space="preserve">_   </w:t>
            </w:r>
          </w:p>
          <w:p w:rsidR="008B0B06" w:rsidRPr="008B0B06" w:rsidRDefault="008B0B06" w:rsidP="006565B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8B0B06">
              <w:rPr>
                <w:b/>
                <w:color w:val="000000" w:themeColor="text1"/>
                <w:sz w:val="20"/>
                <w:szCs w:val="20"/>
              </w:rPr>
              <w:t xml:space="preserve">м.п.  </w:t>
            </w:r>
          </w:p>
          <w:p w:rsidR="008B0B06" w:rsidRPr="008B0B06" w:rsidRDefault="008B0B06" w:rsidP="006565BD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8B0B06" w:rsidRDefault="008B0B06" w:rsidP="006565BD">
            <w:pPr>
              <w:tabs>
                <w:tab w:val="left" w:pos="1125"/>
              </w:tabs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B0B06" w:rsidRPr="008B0B06" w:rsidRDefault="008B0B06" w:rsidP="006565BD">
            <w:pPr>
              <w:jc w:val="right"/>
              <w:rPr>
                <w:rStyle w:val="s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0B06" w:rsidRPr="008B0B06" w:rsidRDefault="008B0B06" w:rsidP="006565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B0B06" w:rsidRDefault="008B0B06"/>
    <w:p w:rsidR="008B0B06" w:rsidRDefault="008B0B06"/>
    <w:p w:rsidR="008B0B06" w:rsidRDefault="008B0B06"/>
    <w:p w:rsidR="00D60A48" w:rsidRDefault="00D60A48"/>
    <w:p w:rsidR="00D60A48" w:rsidRDefault="00D60A48"/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Мемлекеттік</w:t>
      </w:r>
      <w:proofErr w:type="spellEnd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бюджеттен</w:t>
      </w:r>
      <w:proofErr w:type="spellEnd"/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қаржыландырылатын </w:t>
      </w:r>
      <w:proofErr w:type="gramStart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заңды</w:t>
      </w:r>
      <w:proofErr w:type="gramEnd"/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тұлғ</w:t>
      </w:r>
      <w:proofErr w:type="gramStart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алар</w:t>
      </w:r>
      <w:proofErr w:type="gramEnd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ға арналған </w:t>
      </w:r>
      <w:proofErr w:type="spellStart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электрмен</w:t>
      </w:r>
      <w:proofErr w:type="spellEnd"/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жабдықтаудың </w:t>
      </w:r>
      <w:bookmarkStart w:id="3" w:name="SUB1005970475_3"/>
      <w:r w:rsidR="00984716"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"http://online.zakon.kz/Document/?link_id=1005970475" \t "_parent" </w:instrText>
      </w:r>
      <w:r w:rsidR="00984716"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үлгілік </w:t>
      </w:r>
      <w:proofErr w:type="spellStart"/>
      <w:r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шартына</w:t>
      </w:r>
      <w:proofErr w:type="spellEnd"/>
      <w:r w:rsidR="00984716" w:rsidRPr="0071755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3"/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2-қосымша</w:t>
      </w:r>
    </w:p>
    <w:p w:rsidR="008B0B06" w:rsidRPr="00761A40" w:rsidRDefault="008B0B06" w:rsidP="008B0B06">
      <w:pPr>
        <w:spacing w:after="0" w:line="240" w:lineRule="auto"/>
        <w:jc w:val="right"/>
        <w:rPr>
          <w:rStyle w:val="s0"/>
          <w:rFonts w:ascii="Times New Roman" w:eastAsia="Calibri" w:hAnsi="Times New Roman" w:cs="Times New Roman"/>
          <w:sz w:val="20"/>
          <w:szCs w:val="20"/>
        </w:rPr>
      </w:pPr>
      <w:r>
        <w:rPr>
          <w:rStyle w:val="s0"/>
          <w:rFonts w:ascii="Times New Roman" w:eastAsia="Calibri" w:hAnsi="Times New Roman" w:cs="Times New Roman"/>
          <w:sz w:val="20"/>
          <w:szCs w:val="20"/>
        </w:rPr>
        <w:t>№ ___ от ___________20__ ж.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p w:rsidR="008B0B06" w:rsidRPr="00717552" w:rsidRDefault="008B0B06" w:rsidP="008B0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Кімге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17552"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lang w:val="kk-KZ"/>
        </w:rPr>
        <w:t>Расчетный сервисный центр</w:t>
      </w:r>
      <w:r w:rsidRPr="00717552">
        <w:rPr>
          <w:rFonts w:ascii="Times New Roman" w:hAnsi="Times New Roman" w:cs="Times New Roman"/>
          <w:sz w:val="20"/>
          <w:szCs w:val="20"/>
          <w:lang w:val="kk-KZ"/>
        </w:rPr>
        <w:t>» ЖШС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(энергия </w:t>
      </w: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беруші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ұйым)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Кімнен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(ұйым </w:t>
      </w: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атауы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 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Электр </w:t>
      </w:r>
      <w:proofErr w:type="spellStart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энергиясын</w:t>
      </w:r>
      <w:proofErr w:type="spellEnd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беру </w:t>
      </w:r>
      <w:proofErr w:type="spellStart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туралы</w:t>
      </w:r>
      <w:proofErr w:type="spellEnd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алдын</w:t>
      </w:r>
      <w:proofErr w:type="spellEnd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ала</w:t>
      </w:r>
      <w:proofErr w:type="gramEnd"/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өтінім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 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_______________________________, </w:t>
      </w: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Сізден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энергиясын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 көлемде___________ аралығында </w:t>
      </w:r>
      <w:proofErr w:type="spell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алдын</w:t>
      </w:r>
      <w:proofErr w:type="spell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</w:t>
      </w:r>
      <w:proofErr w:type="gramEnd"/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беруіңізді сұраймын.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45"/>
        <w:gridCol w:w="2900"/>
        <w:gridCol w:w="2513"/>
        <w:gridCol w:w="2513"/>
      </w:tblGrid>
      <w:tr w:rsidR="008B0B06" w:rsidRPr="00717552" w:rsidTr="006565BD">
        <w:trPr>
          <w:jc w:val="center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Айлар</w:t>
            </w:r>
            <w:proofErr w:type="spellEnd"/>
          </w:p>
        </w:tc>
        <w:tc>
          <w:tcPr>
            <w:tcW w:w="2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proofErr w:type="gram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ағ</w:t>
            </w:r>
          </w:p>
        </w:tc>
      </w:tr>
      <w:tr w:rsidR="008B0B06" w:rsidRPr="00717552" w:rsidTr="006565B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Цифрмен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Жазбаша</w:t>
            </w:r>
            <w:proofErr w:type="spellEnd"/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Қаңтар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Сәуі</w:t>
            </w:r>
            <w:proofErr w:type="gram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Маусым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ілде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Тамыз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Қыркүйек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Қараша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Желтоқсан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0B06" w:rsidRPr="00717552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Тұтынушы: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71755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                                       </w:t>
      </w:r>
    </w:p>
    <w:p w:rsidR="008B0B06" w:rsidRPr="00717552" w:rsidRDefault="008B0B06" w:rsidP="008B0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B0652A" w:rsidRDefault="00B0652A"/>
    <w:p w:rsidR="00B0652A" w:rsidRDefault="00B0652A"/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Приложение 2</w:t>
      </w:r>
    </w:p>
    <w:p w:rsidR="008B0B06" w:rsidRPr="00717552" w:rsidRDefault="004C35CF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0"/>
          <w:rFonts w:ascii="Times New Roman" w:hAnsi="Times New Roman" w:cs="Times New Roman"/>
          <w:sz w:val="20"/>
          <w:szCs w:val="20"/>
        </w:rPr>
        <w:t xml:space="preserve">к </w:t>
      </w:r>
      <w:r w:rsidR="008B0B06" w:rsidRPr="00717552">
        <w:rPr>
          <w:rStyle w:val="s0"/>
          <w:rFonts w:ascii="Times New Roman" w:hAnsi="Times New Roman" w:cs="Times New Roman"/>
          <w:sz w:val="20"/>
          <w:szCs w:val="20"/>
        </w:rPr>
        <w:t xml:space="preserve"> договору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 xml:space="preserve">электроснабжения </w:t>
      </w:r>
      <w:proofErr w:type="gramStart"/>
      <w:r w:rsidRPr="00717552">
        <w:rPr>
          <w:rStyle w:val="s0"/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юридических лиц,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финансируемых из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государственного бюджета</w:t>
      </w:r>
    </w:p>
    <w:p w:rsidR="008B0B06" w:rsidRPr="008B0B06" w:rsidRDefault="008B0B06" w:rsidP="008B0B06">
      <w:pPr>
        <w:spacing w:after="0" w:line="240" w:lineRule="auto"/>
        <w:jc w:val="right"/>
        <w:rPr>
          <w:rStyle w:val="s0"/>
          <w:rFonts w:ascii="Times New Roman" w:eastAsia="Calibri" w:hAnsi="Times New Roman" w:cs="Times New Roman"/>
          <w:sz w:val="20"/>
          <w:szCs w:val="20"/>
        </w:rPr>
      </w:pPr>
      <w:r>
        <w:rPr>
          <w:rStyle w:val="s0"/>
          <w:rFonts w:ascii="Times New Roman" w:eastAsia="Calibri" w:hAnsi="Times New Roman" w:cs="Times New Roman"/>
          <w:sz w:val="20"/>
          <w:szCs w:val="20"/>
        </w:rPr>
        <w:t>№ ___ от ___________20__ г.</w:t>
      </w:r>
    </w:p>
    <w:p w:rsidR="008B0B06" w:rsidRPr="00717552" w:rsidRDefault="008B0B06" w:rsidP="008B0B06">
      <w:pPr>
        <w:spacing w:after="0" w:line="240" w:lineRule="auto"/>
        <w:jc w:val="right"/>
        <w:rPr>
          <w:rStyle w:val="s0"/>
          <w:rFonts w:ascii="Times New Roman" w:hAnsi="Times New Roman" w:cs="Times New Roman"/>
          <w:sz w:val="20"/>
          <w:szCs w:val="20"/>
        </w:rPr>
      </w:pP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 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Форма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 </w:t>
      </w:r>
    </w:p>
    <w:p w:rsidR="008B0B06" w:rsidRPr="00717552" w:rsidRDefault="008B0B06" w:rsidP="008B0B06">
      <w:pPr>
        <w:pStyle w:val="a3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 w:rsidRPr="00717552">
        <w:rPr>
          <w:rStyle w:val="s0"/>
          <w:sz w:val="20"/>
          <w:szCs w:val="20"/>
        </w:rPr>
        <w:t>Кому:</w:t>
      </w:r>
      <w:r w:rsidRPr="00717552">
        <w:rPr>
          <w:rStyle w:val="a5"/>
          <w:sz w:val="20"/>
          <w:szCs w:val="20"/>
        </w:rPr>
        <w:t xml:space="preserve"> ТОО «</w:t>
      </w:r>
      <w:r>
        <w:rPr>
          <w:rStyle w:val="a5"/>
          <w:sz w:val="20"/>
          <w:szCs w:val="20"/>
        </w:rPr>
        <w:t>Расчетный сервисный центр</w:t>
      </w:r>
      <w:r w:rsidRPr="00717552">
        <w:rPr>
          <w:rStyle w:val="a5"/>
          <w:sz w:val="20"/>
          <w:szCs w:val="20"/>
        </w:rPr>
        <w:t>»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от кого __________________________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B0B06" w:rsidRPr="00717552" w:rsidRDefault="008B0B06" w:rsidP="008B0B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 </w:t>
      </w:r>
    </w:p>
    <w:p w:rsidR="008B0B06" w:rsidRPr="00717552" w:rsidRDefault="008B0B06" w:rsidP="008B0B0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Предварительная заявка о поставке электрической энергии</w:t>
      </w:r>
    </w:p>
    <w:p w:rsidR="008B0B06" w:rsidRPr="00717552" w:rsidRDefault="008B0B06" w:rsidP="008B0B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_____</w:t>
      </w:r>
      <w:r>
        <w:rPr>
          <w:rStyle w:val="s0"/>
          <w:rFonts w:ascii="Times New Roman" w:hAnsi="Times New Roman" w:cs="Times New Roman"/>
          <w:sz w:val="20"/>
          <w:szCs w:val="20"/>
        </w:rPr>
        <w:t>__________________________, просит</w:t>
      </w:r>
      <w:r w:rsidRPr="00717552">
        <w:rPr>
          <w:rStyle w:val="s0"/>
          <w:rFonts w:ascii="Times New Roman" w:hAnsi="Times New Roman" w:cs="Times New Roman"/>
          <w:sz w:val="20"/>
          <w:szCs w:val="20"/>
        </w:rPr>
        <w:t xml:space="preserve"> Вас предварительно поставить электрическую энергию </w:t>
      </w:r>
      <w:proofErr w:type="gramStart"/>
      <w:r w:rsidRPr="00717552">
        <w:rPr>
          <w:rStyle w:val="s0"/>
          <w:rFonts w:ascii="Times New Roman" w:hAnsi="Times New Roman" w:cs="Times New Roman"/>
          <w:sz w:val="20"/>
          <w:szCs w:val="20"/>
        </w:rPr>
        <w:t>с</w:t>
      </w:r>
      <w:proofErr w:type="gramEnd"/>
      <w:r w:rsidRPr="00717552">
        <w:rPr>
          <w:rStyle w:val="s0"/>
          <w:rFonts w:ascii="Times New Roman" w:hAnsi="Times New Roman" w:cs="Times New Roman"/>
          <w:sz w:val="20"/>
          <w:szCs w:val="20"/>
        </w:rPr>
        <w:t xml:space="preserve"> ___________ по _____________ в следующем количестве.</w:t>
      </w:r>
    </w:p>
    <w:p w:rsidR="008B0B06" w:rsidRPr="00717552" w:rsidRDefault="008B0B06" w:rsidP="008B0B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70"/>
        <w:gridCol w:w="2557"/>
        <w:gridCol w:w="2563"/>
        <w:gridCol w:w="2781"/>
      </w:tblGrid>
      <w:tr w:rsidR="008B0B06" w:rsidRPr="00717552" w:rsidTr="006565BD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</w:tr>
      <w:tr w:rsidR="008B0B06" w:rsidRPr="00717552" w:rsidTr="006565B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06" w:rsidRPr="00717552" w:rsidTr="006565BD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B06" w:rsidRPr="00717552" w:rsidRDefault="008B0B06" w:rsidP="008B0B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717552">
        <w:rPr>
          <w:rStyle w:val="s0"/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B0B06" w:rsidRPr="00717552" w:rsidTr="006565BD">
        <w:trPr>
          <w:trHeight w:val="22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Потребитель:</w:t>
            </w:r>
          </w:p>
          <w:p w:rsidR="008B0B06" w:rsidRPr="00717552" w:rsidRDefault="008B0B06" w:rsidP="006565B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0"/>
                <w:szCs w:val="20"/>
              </w:rPr>
            </w:pPr>
          </w:p>
          <w:p w:rsidR="008B0B06" w:rsidRPr="00717552" w:rsidRDefault="008B0B06" w:rsidP="0065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552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B06" w:rsidRPr="00717552" w:rsidRDefault="008B0B06" w:rsidP="00656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p w:rsidR="008B0B06" w:rsidRDefault="008B0B06"/>
    <w:sectPr w:rsidR="008B0B06" w:rsidSect="00D60A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6"/>
    <w:rsid w:val="000667EC"/>
    <w:rsid w:val="000D09F8"/>
    <w:rsid w:val="00355A95"/>
    <w:rsid w:val="0041718A"/>
    <w:rsid w:val="004C35CF"/>
    <w:rsid w:val="008B0B06"/>
    <w:rsid w:val="00984716"/>
    <w:rsid w:val="009F2D71"/>
    <w:rsid w:val="00B0652A"/>
    <w:rsid w:val="00B5290C"/>
    <w:rsid w:val="00C266C5"/>
    <w:rsid w:val="00CF451F"/>
    <w:rsid w:val="00D60A48"/>
    <w:rsid w:val="00DB42FC"/>
    <w:rsid w:val="00DC4386"/>
    <w:rsid w:val="00E81186"/>
    <w:rsid w:val="00F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B0B06"/>
  </w:style>
  <w:style w:type="character" w:customStyle="1" w:styleId="s0">
    <w:name w:val="s0"/>
    <w:basedOn w:val="a0"/>
    <w:rsid w:val="008B0B06"/>
  </w:style>
  <w:style w:type="paragraph" w:styleId="a3">
    <w:name w:val="Normal (Web)"/>
    <w:basedOn w:val="a"/>
    <w:uiPriority w:val="99"/>
    <w:unhideWhenUsed/>
    <w:rsid w:val="008B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0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c.kz" TargetMode="External"/><Relationship Id="rId4" Type="http://schemas.openxmlformats.org/officeDocument/2006/relationships/hyperlink" Target="http://www.kr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3793</Words>
  <Characters>21622</Characters>
  <Application>Microsoft Office Word</Application>
  <DocSecurity>0</DocSecurity>
  <Lines>180</Lines>
  <Paragraphs>50</Paragraphs>
  <ScaleCrop>false</ScaleCrop>
  <Company/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aAytuarova</dc:creator>
  <cp:lastModifiedBy>bAbeuov</cp:lastModifiedBy>
  <cp:revision>5</cp:revision>
  <dcterms:created xsi:type="dcterms:W3CDTF">2018-01-09T08:48:00Z</dcterms:created>
  <dcterms:modified xsi:type="dcterms:W3CDTF">2018-01-25T04:03:00Z</dcterms:modified>
</cp:coreProperties>
</file>